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1C3A"/>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3E6F"/>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B6D66"/>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616a66-b9a8-42af-8fd2-fad24bfb9522">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lcf76f155ced4ddcb4097134ff3c332f xmlns="f261d1d7-98ab-4bd1-ad8b-2f413e6d4c3e">
      <Terms xmlns="http://schemas.microsoft.com/office/infopath/2007/PartnerControls"/>
    </lcf76f155ced4ddcb4097134ff3c332f>
    <TaxCatchAll xmlns="d7616a66-b9a8-42af-8fd2-fad24bfb95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519C5B92AF44D884C8B29183C3490" ma:contentTypeVersion="15" ma:contentTypeDescription="Create a new document." ma:contentTypeScope="" ma:versionID="c730661dbd3407ae609ae160c309fe47">
  <xsd:schema xmlns:xsd="http://www.w3.org/2001/XMLSchema" xmlns:xs="http://www.w3.org/2001/XMLSchema" xmlns:p="http://schemas.microsoft.com/office/2006/metadata/properties" xmlns:ns2="f261d1d7-98ab-4bd1-ad8b-2f413e6d4c3e" xmlns:ns3="d7616a66-b9a8-42af-8fd2-fad24bfb9522" targetNamespace="http://schemas.microsoft.com/office/2006/metadata/properties" ma:root="true" ma:fieldsID="73225919397e26475856cd232d62749f" ns2:_="" ns3:_="">
    <xsd:import namespace="f261d1d7-98ab-4bd1-ad8b-2f413e6d4c3e"/>
    <xsd:import namespace="d7616a66-b9a8-42af-8fd2-fad24bfb95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d1d7-98ab-4bd1-ad8b-2f413e6d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16a66-b9a8-42af-8fd2-fad24bfb95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a65c4b-e8cb-421d-ab5b-051c3410549a}" ma:internalName="TaxCatchAll" ma:showField="CatchAllData" ma:web="d7616a66-b9a8-42af-8fd2-fad24bfb9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3.xml><?xml version="1.0" encoding="utf-8"?>
<ds:datastoreItem xmlns:ds="http://schemas.openxmlformats.org/officeDocument/2006/customXml" ds:itemID="{CBB30D3C-7FE5-4374-94FF-A67A2EEA26A8}"/>
</file>

<file path=customXml/itemProps4.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5.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14149</Characters>
  <Application>Microsoft Office Word</Application>
  <DocSecurity>4</DocSecurity>
  <Lines>117</Lines>
  <Paragraphs>32</Paragraphs>
  <ScaleCrop>false</ScaleCrop>
  <Company>Ofsted</Company>
  <LinksUpToDate>false</LinksUpToDate>
  <CharactersWithSpaces>16458</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Gemma Read - JCA</cp:lastModifiedBy>
  <cp:revision>2</cp:revision>
  <cp:lastPrinted>2007-03-23T14:56:00Z</cp:lastPrinted>
  <dcterms:created xsi:type="dcterms:W3CDTF">2024-11-04T13:22:00Z</dcterms:created>
  <dcterms:modified xsi:type="dcterms:W3CDTF">2024-11-04T13:22:00Z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0x010100EE8519C5B92AF44D884C8B29183C3490</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